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176E94" w:rsidTr="00176E94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176E94" w:rsidRDefault="00176E94">
            <w:pPr>
              <w:pStyle w:val="a4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176E94" w:rsidRDefault="00176E94">
            <w:pPr>
              <w:pStyle w:val="a4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176E94" w:rsidRDefault="00176E94">
            <w:pPr>
              <w:pStyle w:val="a4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176E94" w:rsidRDefault="00176E94">
            <w:pPr>
              <w:pStyle w:val="a4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176E94" w:rsidRDefault="00176E94">
            <w:pPr>
              <w:pStyle w:val="a4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176E94" w:rsidRDefault="00176E94" w:rsidP="00176E9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176E94" w:rsidRDefault="00176E94" w:rsidP="00176E94">
      <w:pPr>
        <w:pStyle w:val="a4"/>
        <w:jc w:val="left"/>
        <w:rPr>
          <w:spacing w:val="0"/>
          <w:sz w:val="28"/>
          <w:szCs w:val="24"/>
        </w:rPr>
      </w:pPr>
    </w:p>
    <w:p w:rsidR="00176E94" w:rsidRDefault="00176E94" w:rsidP="00176E94">
      <w:pPr>
        <w:pStyle w:val="a4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372</w:t>
      </w:r>
    </w:p>
    <w:p w:rsidR="00176E94" w:rsidRDefault="00176E94" w:rsidP="00176E94">
      <w:pPr>
        <w:pStyle w:val="a4"/>
        <w:rPr>
          <w:spacing w:val="0"/>
          <w:sz w:val="28"/>
        </w:rPr>
      </w:pPr>
    </w:p>
    <w:p w:rsidR="00176E94" w:rsidRDefault="00176E94" w:rsidP="00176E94">
      <w:pPr>
        <w:pStyle w:val="a4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176E94" w:rsidRDefault="00176E94" w:rsidP="00176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6E94" w:rsidRDefault="00176E94" w:rsidP="00176E9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«Комплексное развитие сельских территорий в Еравнинском районе»</w:t>
      </w:r>
    </w:p>
    <w:p w:rsidR="00176E94" w:rsidRDefault="00176E94" w:rsidP="00176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 xml:space="preserve">В целях реализации Закона Республики Бурятия от 27.09.2011 № 2359-111 «О бюджетном процессе в Республике Бурятия» в соответствии с Методикой </w:t>
      </w:r>
      <w:proofErr w:type="gramStart"/>
      <w:r>
        <w:rPr>
          <w:rFonts w:ascii="Times New Roman" w:hAnsi="Times New Roman"/>
          <w:sz w:val="28"/>
          <w:szCs w:val="28"/>
        </w:rPr>
        <w:t>оценки эффективности реализации государственных программ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Бурятия, утверждённой постановлением Правительства Республики Бурятия от 05.02.2016 № 36, а также в целях приведения нормативных правовых актов в соответствии с действующим законодательством, постановляю:</w:t>
      </w:r>
    </w:p>
    <w:p w:rsidR="00176E94" w:rsidRDefault="00176E94" w:rsidP="00176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муниципальную программу МО «Еравнинский район» «Комплексное развитие сельских территорий в Еравнинском районе» внести изменения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176E94" w:rsidRDefault="00176E94" w:rsidP="00176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176E94" w:rsidRDefault="00176E94" w:rsidP="00176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заместителя руководителя АМО «Еравнинский район» по сельскому хозяйству и развитию территорий </w:t>
      </w:r>
      <w:proofErr w:type="spellStart"/>
      <w:r>
        <w:rPr>
          <w:rFonts w:ascii="Times New Roman" w:hAnsi="Times New Roman"/>
          <w:sz w:val="28"/>
          <w:szCs w:val="28"/>
        </w:rPr>
        <w:t>Жамсуева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А.Ц.</w:t>
      </w:r>
    </w:p>
    <w:p w:rsidR="00176E94" w:rsidRDefault="00176E94" w:rsidP="00176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E94" w:rsidRDefault="00176E94" w:rsidP="00176E94">
      <w:pPr>
        <w:pStyle w:val="3"/>
        <w:rPr>
          <w:b/>
        </w:rPr>
      </w:pPr>
    </w:p>
    <w:p w:rsidR="00176E94" w:rsidRDefault="00176E94" w:rsidP="00176E94">
      <w:pPr>
        <w:pStyle w:val="3"/>
        <w:rPr>
          <w:b/>
        </w:rPr>
      </w:pPr>
    </w:p>
    <w:p w:rsidR="00176E94" w:rsidRDefault="00176E94" w:rsidP="00176E94">
      <w:pPr>
        <w:pStyle w:val="3"/>
      </w:pPr>
    </w:p>
    <w:p w:rsidR="00176E94" w:rsidRDefault="00176E94" w:rsidP="00176E94">
      <w:pPr>
        <w:pStyle w:val="3"/>
      </w:pPr>
      <w:r>
        <w:t>Глава-Руководитель</w:t>
      </w:r>
    </w:p>
    <w:p w:rsidR="00176E94" w:rsidRDefault="00176E94" w:rsidP="00176E94">
      <w:r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Ч.М. Цыренжапов</w:t>
      </w:r>
    </w:p>
    <w:p w:rsidR="00EC0BC3" w:rsidRDefault="00EC0BC3"/>
    <w:p w:rsidR="00AB367B" w:rsidRDefault="00AB367B"/>
    <w:p w:rsidR="00AB367B" w:rsidRDefault="00AB367B"/>
    <w:p w:rsidR="00AB367B" w:rsidRDefault="00AB367B"/>
    <w:p w:rsidR="00AB367B" w:rsidRDefault="00AB367B"/>
    <w:p w:rsidR="00AB367B" w:rsidRDefault="00AB367B" w:rsidP="00AB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67B" w:rsidRDefault="00AB367B" w:rsidP="00AB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67B" w:rsidRDefault="00AB367B" w:rsidP="00AB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67B" w:rsidRDefault="00AB367B" w:rsidP="00AB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B367B" w:rsidRDefault="00AB367B" w:rsidP="00AB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постановлением администрации</w:t>
      </w:r>
    </w:p>
    <w:p w:rsidR="00AB367B" w:rsidRDefault="00AB367B" w:rsidP="00AB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муниципального образования</w:t>
      </w:r>
    </w:p>
    <w:p w:rsidR="00AB367B" w:rsidRDefault="00AB367B" w:rsidP="00AB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«Еравнинский район»</w:t>
      </w: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от 06 сентября 2024 г. № 372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367B" w:rsidRDefault="00AB367B" w:rsidP="00AB367B">
      <w:pPr>
        <w:pStyle w:val="ConsPlusTitle"/>
        <w:widowControl/>
        <w:ind w:left="24"/>
        <w:jc w:val="center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Title"/>
        <w:widowControl/>
        <w:ind w:left="24"/>
        <w:jc w:val="center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Title"/>
        <w:widowControl/>
        <w:ind w:left="24"/>
        <w:jc w:val="center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14"/>
      </w:pPr>
    </w:p>
    <w:p w:rsidR="00AB367B" w:rsidRDefault="00AB367B" w:rsidP="00AB367B">
      <w:pPr>
        <w:pStyle w:val="ConsPlusTitle"/>
        <w:widowControl/>
        <w:ind w:left="24"/>
        <w:jc w:val="center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Title"/>
        <w:widowControl/>
        <w:ind w:left="24"/>
        <w:jc w:val="center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Title"/>
        <w:widowControl/>
        <w:ind w:left="24"/>
        <w:jc w:val="center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Title"/>
        <w:widowControl/>
        <w:ind w:left="24"/>
        <w:jc w:val="center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Title"/>
        <w:widowControl/>
        <w:tabs>
          <w:tab w:val="left" w:pos="2565"/>
          <w:tab w:val="center" w:pos="5114"/>
        </w:tabs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367B" w:rsidRDefault="00AB367B" w:rsidP="00AB367B">
      <w:pPr>
        <w:pStyle w:val="ConsPlusTitle"/>
        <w:widowControl/>
        <w:tabs>
          <w:tab w:val="left" w:pos="2565"/>
          <w:tab w:val="center" w:pos="5114"/>
        </w:tabs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</w:t>
      </w: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 развитие сельских территорий </w:t>
      </w:r>
    </w:p>
    <w:p w:rsidR="00AB367B" w:rsidRDefault="00AB367B" w:rsidP="00AB367B">
      <w:pPr>
        <w:pStyle w:val="ConsPlusTitle"/>
        <w:widowControl/>
        <w:ind w:left="24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«Еравнинский район»</w:t>
      </w:r>
    </w:p>
    <w:p w:rsidR="00AB367B" w:rsidRDefault="00AB367B" w:rsidP="00AB367B">
      <w:pPr>
        <w:ind w:left="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pStyle w:val="14"/>
      </w:pPr>
    </w:p>
    <w:p w:rsidR="00AB367B" w:rsidRDefault="00AB367B" w:rsidP="00AB367B">
      <w:pPr>
        <w:ind w:left="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ind w:left="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ind w:left="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67B" w:rsidRDefault="00AB367B" w:rsidP="00AB367B">
      <w:pPr>
        <w:tabs>
          <w:tab w:val="left" w:pos="709"/>
          <w:tab w:val="left" w:pos="870"/>
        </w:tabs>
        <w:autoSpaceDE w:val="0"/>
        <w:autoSpaceDN w:val="0"/>
        <w:adjustRightInd w:val="0"/>
        <w:outlineLvl w:val="2"/>
        <w:rPr>
          <w:rFonts w:ascii="Times New Roman" w:hAnsi="Times New Roman" w:cstheme="minorBidi"/>
          <w:sz w:val="28"/>
          <w:szCs w:val="28"/>
        </w:rPr>
      </w:pP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«Комплексное  развитие сельских территорий </w:t>
      </w: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«Еравнинский район» </w:t>
      </w: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AB367B" w:rsidRDefault="00AB367B" w:rsidP="00AB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10384" w:type="dxa"/>
        <w:tblInd w:w="0" w:type="dxa"/>
        <w:tblLook w:val="04A0" w:firstRow="1" w:lastRow="0" w:firstColumn="1" w:lastColumn="0" w:noHBand="0" w:noVBand="1"/>
      </w:tblPr>
      <w:tblGrid>
        <w:gridCol w:w="3133"/>
        <w:gridCol w:w="1094"/>
        <w:gridCol w:w="1266"/>
        <w:gridCol w:w="1266"/>
        <w:gridCol w:w="1093"/>
        <w:gridCol w:w="1266"/>
        <w:gridCol w:w="1266"/>
      </w:tblGrid>
      <w:tr w:rsidR="00AB367B" w:rsidTr="00AB36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 программы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«Комплексное развитие сельских территорий муниципального образования «Еравнинский район» далее программа</w:t>
            </w:r>
          </w:p>
        </w:tc>
      </w:tr>
      <w:tr w:rsidR="00AB367B" w:rsidTr="00AB36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Основание для  разработки программы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Распоряжение Правительства Российской Федерации от 30.05.2019 г. № 696</w:t>
            </w:r>
          </w:p>
        </w:tc>
      </w:tr>
      <w:tr w:rsidR="00AB367B" w:rsidTr="00AB36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Заказчики программы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Министерство сельского хозяйства Российской Федерации, Министерство культуры Российской Федерации, Министерство сельского хозяйства и  продовольствия Республики Бурятия,         Администрация МО «Еравнинский  район»</w:t>
            </w:r>
          </w:p>
        </w:tc>
      </w:tr>
      <w:tr w:rsidR="00AB367B" w:rsidTr="00AB36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 МО «Еравнинский район»</w:t>
            </w:r>
          </w:p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МКУ «Комитет по инфраструктуре» АМО «Еравнинский район»</w:t>
            </w:r>
          </w:p>
        </w:tc>
      </w:tr>
      <w:tr w:rsidR="00AB367B" w:rsidTr="00AB36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Цели и задачи программы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Цель программы:</w:t>
            </w:r>
          </w:p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обеспечение граждан, проживающих на сельских территориях, жильем, оборудованным всеми видами благоустройства;</w:t>
            </w:r>
          </w:p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содействие занятости населения и привлечение высококвалифицированных кадров на село;</w:t>
            </w:r>
          </w:p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территорий.</w:t>
            </w:r>
          </w:p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повысить доступность и качество предоставляемых сельским гражданам социально-культурных, торгово-бытовых и государственных услуг путем развития дорожно-транспортных и информационно-телекоммуникационных сетей, мобильных и дистанционных форм обслуживания, укрепление и модернизации материально-технической базы образования, здравоохранения, культуры, физкультуры и спорта и т.д.</w:t>
            </w:r>
          </w:p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Основными задачами Программы являются:</w:t>
            </w:r>
          </w:p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комплексное планирование развития сельских территорий и размещение объектов социальной и инженерной инфраструктуры, автомобильных дорог в соответствии с документами территориального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планирования (схемами муниципальных районов и генеральными планов поселений);</w:t>
            </w:r>
          </w:p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преимущественное обустройство объектами социальной и инженерной инфраструктуры, автомобильными дорогами населенных пунктов, расположенных в сельской местности, в которых реализуются или имеются планы по реализации инвестиционных проектов;</w:t>
            </w:r>
          </w:p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использование механизмов государственно-частного партнерства и привлечение средств внебюджетных источников для финансирования мероприятий Госпрограммы, включая средства населения и организаций.</w:t>
            </w:r>
          </w:p>
        </w:tc>
      </w:tr>
      <w:tr w:rsidR="00AB367B" w:rsidTr="00AB367B">
        <w:trPr>
          <w:trHeight w:val="2311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Важнейшие  индикаторы  и показатели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ввод жилых помещений (жилых домов) для граждан, проживающих на сельских территориях – 540 кв. метров жилья;</w:t>
            </w:r>
          </w:p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 общественно значимых проектов по благоустройству сельских территорий;</w:t>
            </w:r>
          </w:p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 инициативных  проектов комплексного развития сельских территорий</w:t>
            </w:r>
          </w:p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проектов «Современный облик сельских территорий»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AB367B" w:rsidRDefault="00AB367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транспортной инфраструктуры на сельских территориях</w:t>
            </w:r>
          </w:p>
        </w:tc>
      </w:tr>
      <w:tr w:rsidR="00AB367B" w:rsidTr="00AB367B">
        <w:trPr>
          <w:trHeight w:val="59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Сроки реализации программы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2020-2025 годы и плановый период 2026 и 2027 годы.</w:t>
            </w:r>
          </w:p>
        </w:tc>
      </w:tr>
      <w:tr w:rsidR="00AB367B" w:rsidTr="00AB367B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Объемы и источники финансирования, тыс. 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AB367B" w:rsidTr="00AB36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367B" w:rsidTr="00AB36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757,38</w:t>
            </w:r>
          </w:p>
        </w:tc>
      </w:tr>
      <w:tr w:rsidR="00AB367B" w:rsidTr="00AB36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457094,8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390168,8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7962,6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3140,8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55822,6</w:t>
            </w:r>
          </w:p>
        </w:tc>
      </w:tr>
      <w:tr w:rsidR="00AB367B" w:rsidTr="00AB36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663764,5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396019,9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8082,2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144143,5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115518,9</w:t>
            </w:r>
          </w:p>
        </w:tc>
      </w:tr>
      <w:tr w:rsidR="00AB367B" w:rsidTr="00AB367B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164745,5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106880,9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57349,3</w:t>
            </w:r>
          </w:p>
        </w:tc>
      </w:tr>
      <w:tr w:rsidR="00AB367B" w:rsidTr="00AB367B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1623,8</w:t>
            </w:r>
          </w:p>
        </w:tc>
      </w:tr>
      <w:tr w:rsidR="00AB367B" w:rsidTr="00AB367B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1623,8</w:t>
            </w:r>
          </w:p>
        </w:tc>
      </w:tr>
      <w:tr w:rsidR="00AB367B" w:rsidTr="00AB367B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2027*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1623,8</w:t>
            </w:r>
          </w:p>
        </w:tc>
      </w:tr>
      <w:tr w:rsidR="00AB367B" w:rsidTr="00AB36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Реализация программы будет  способствовать развитию  сельских территорий  и повышению  уровня и  качества  жизни  сельского населения. В  результате  реализации программы  за  2025-2027 годы  произойдет улучшение  жилищных условий  в  сельской  местности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семей; повышение гражданской активности и участия граждан, индивидуальных предпринимателей и организаций, муниципальных образований в реализации  общественно значимых проектов по благоустройству территорий, инициативных проектов комплексного развития сельских территорий</w:t>
            </w:r>
          </w:p>
        </w:tc>
      </w:tr>
    </w:tbl>
    <w:p w:rsidR="00AB367B" w:rsidRDefault="00AB367B" w:rsidP="00AB3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&lt;*&gt;Справочно. </w:t>
      </w:r>
    </w:p>
    <w:p w:rsidR="00AB367B" w:rsidRDefault="00AB367B" w:rsidP="00AB367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&lt;**&gt; объемы и источники  финансирования могут корректироваться  после принятия закона Республики Бурятия  о  республиканском бюджете  на  очередной  год  и плановый  период  также  после  принятия муниципального бюджета  муниципального образования «Еравнинский  район».</w:t>
      </w:r>
    </w:p>
    <w:p w:rsidR="00AB367B" w:rsidRDefault="00AB367B" w:rsidP="00AB367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B367B" w:rsidRDefault="00AB367B" w:rsidP="00AB367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AB367B" w:rsidRDefault="00AB367B" w:rsidP="00AB36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Оценка текущего состояния развития сельских территорий</w:t>
      </w:r>
    </w:p>
    <w:p w:rsidR="00AB367B" w:rsidRDefault="00AB367B" w:rsidP="00AB3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качества жизни сельского населения муниципального района</w:t>
      </w:r>
    </w:p>
    <w:p w:rsidR="00AB367B" w:rsidRDefault="00AB367B" w:rsidP="00AB367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Муниципальная программа "Комплексное развитие сельских территорий Еравнинского района" разработана в целях реализации положений Государственной программы Республики Бурятия "Комплексное развитие сельских территорий Республики Бурятия" от 27.03.2020 № 158, Государственной </w:t>
      </w:r>
      <w:hyperlink r:id="rId7" w:history="1">
        <w:r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696, и стратегии социально-экономического развития Республики Бурятия.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 современном этапе характеризуется увеличением внимания со стороны Республики Бурятия к комплексному развитию сельских территорий.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сельского населения района на 1 января 2023 года составила 16,951 тыс. человек, что на 0,275 тыс. человек меньше, чем на 1 января 2022 года.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начало 2023 года в муниципальном районе насчитывается 22 сельских населенных пункта,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сгруппированы в 14 сельских поселений.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экономических преобразований в аграрной сфере сформирован и планово увеличивается производственный потенциал, дальнейшее эффективное развитие которого во многом зависит от стабильности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Федеральном </w:t>
      </w:r>
      <w:hyperlink r:id="rId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2006 г. N 264-ФЗ "О развитии сельского хозяйства".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трудоресурсного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потенциала села.</w:t>
      </w:r>
      <w:proofErr w:type="gramEnd"/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причинами сложившейся в течение нескольких десятилетий неблагоприятной ситуации в развитии села являются остаточный принцип финансирования развития социальной и инженерной инфраструктуры, автомобильных дорог в сельской местности, преобладание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бюджетов на уровне сельских поселений.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на селе сложилась неблагоприятная демографическая ситуация, прогрессирует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обезлюдение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территорий, преобладает низкий уровень развития инженерной и социальной инфраструктуры, автомобильных дорог. Этому способствует также крайне низкий уровень комфортности проживания в сельской местности.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перехода от программно-целевого метода к проектному подходу решения имеющихся на сельских территориях экономических, социальных и экологических задач посредством широкого спектра финансовых инструментов, основными из которых будут выступать концессионные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соглашения, контракты жизненного цикла, инструменты по защите и поощрение капиталовложений.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динамику развития сельских территорий за последние 4 года, можно отметить,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в период 2020 - 2023 годов в рамках реализации мероприятий Государственной программы Республики Бурятия "Комплексное развитие сельских территорий Республики Бурятия" (далее - Программа) было обеспечено финансирование в объеме 1124,3 млн. рублей, в том числе из федерального бюджета – 788,5 млн. рублей, республиканского бюджета – 16184,2 млн. рублей, местных бюджетов и внебюджетных источников – 319602,8 млн. рублей.</w:t>
      </w:r>
      <w:proofErr w:type="gramEnd"/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всех источников финансирования по итогам реализации Программы жилищные условия улучшили 2 сельские семьи, в сельском поселении «Комсомольское» и «Сосново-Озерское»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Расширена сеть учреждений социальной сферы, на селе построены:</w:t>
      </w:r>
      <w:proofErr w:type="gramEnd"/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реализовано 3 особо значимых проекта местных инициатив в 3 муниципальных образованиях района, в рамках которых обустроены спортивные и детские игровые площадки, в сельском поселении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2401,5 тыс. рублей.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2022 - 2023 году в рамках Программы 20 студентов обучающихся в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"Бурятская государственная сельскохозяйственная академия имени В. Р. Филиппова" прошли оплачиваемую производственную практику на 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сельскохозяйственном предприятии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Ульдурга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сумма затрат составила 776,6 тыс. рублей.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2022 - 2023 году в районе построен подъезд автомобильной дороги Улан-Удэ - Романовка - Чита к пос. Целинный протяженностью 15 км, и введен объект в эксплуатацию на сумму 315752,4 тыс. рублей.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2022 года продолжается строительство новой общеобразовательной школы на 450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Сосново-Озерское.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прогнозный период наметятся следующие значимые тенденции: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численности населения, проживающего на сельских территориях;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благосостояния сельского населения;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занятости сельского населения;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ускоренное развитие социальной, инженерной и коммунальной инфраструктуры на сельских территориях, что позволит обеспечить достижение комфортности проживания на сельских территориях до городского уровня.</w:t>
      </w:r>
    </w:p>
    <w:p w:rsidR="00AB367B" w:rsidRDefault="00AB367B" w:rsidP="00AB367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67B" w:rsidRDefault="00AB367B" w:rsidP="00AB36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Приоритеты и цели в сфере реализации Программы</w:t>
      </w:r>
    </w:p>
    <w:p w:rsidR="00AB367B" w:rsidRDefault="00AB367B" w:rsidP="00AB367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Российской Федерации, в том числе в части их реализации на сельских территориях Республики Бурятия, отражены в следующих стратегических документах:</w:t>
      </w:r>
    </w:p>
    <w:p w:rsidR="00AB367B" w:rsidRDefault="00AB367B" w:rsidP="00AB367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Доктрина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Российской Федерации, утвержденная Указом Президента Российской Федерации от 21.01.2020 N 20 "Об утверждении Доктрины продовольственной безопасности Российской Федерации";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Стратегия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пространственного развития Российской Федерации на период до 2025 года, утвержденная распоряжением Правительства Российской Федерации от 13.02.2019 N 207-р;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Стратегия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02.02.2015 N 151-р;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Бурятия от 18 марта 2019 г. N 360-VI "О Стратегии социально-экономического развития Республики Бурятия на период до 2035 года".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Программы являются создание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потенциала) на сельских территориях.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установлены 3 цели, достижение которых планируется к 2035 году: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1. "Сохранение к 2035 году общей численности населения района на уровне 41 процент".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2. "Достижение к 2035 году соотношения среднемесячных располагаемых ресурсов сельского и городского домохозяйств в размере 73 процентов".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3. "Повышение к 2035 году доли общей площади благоустроенных жилых помещений, расположенных на сельских территориях, до 8 процентов".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Программы будет осуществляться с учетом следующих подходов: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планирование развития сельских территорий и размещение объектов социальной и инженерной инфраструктуры, автомобильных дорог в соответствии с документами территориального планирования (схемами муниципальных районов и генеральными планами поселений);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преимущественное обустройство объектами социальной и инженерной инфраструктуры, автомобильными дорогами населенных пунктов, расположенных в сельской местности, в которых реализуются или имеются планы по реализации инвестиционных проектов;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социальное развитие сельских территорий должно базироваться на экономическом росте, увеличении объема производства сельскохозяйственной продукции, повышении эффективности сельского хозяйства.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этого потребуются дополнительные усилия в целях повышения доступности всех видов ресурсов для реализации проектов развития сельских территорий, включая удешевление и повышение доступности кредитных ресурсов, в том числе по жилищному направлению, государственная поддержка развития института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микро- и малого бизнеса, повышение влияния на развитие сельских территорий государственных институтов развития (обучение, сопровождение бизнеса на всех этапах жизненного цикла, развитие потребительской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перерабатывающей кооперации).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367B" w:rsidRDefault="00AB367B" w:rsidP="00AB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Задачи и способы эффективного решения </w:t>
      </w:r>
    </w:p>
    <w:p w:rsidR="00AB367B" w:rsidRDefault="00AB367B" w:rsidP="00AB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реализации Программы</w:t>
      </w:r>
    </w:p>
    <w:p w:rsidR="00AB367B" w:rsidRDefault="00AB367B" w:rsidP="00AB367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367B" w:rsidRDefault="00AB367B" w:rsidP="00AB367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>
          <w:rPr>
            <w:rStyle w:val="a8"/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Бурятия на период до 2035 года установлены ключевые положения, предусматривающие обеспечение социально-экономического развития городов, а также сельских территорий, создание комфортной среды для проживания граждан во всех населенных пунктах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республики, развитие эффективной транспортной инфраструктуры и транспортной связанности региона.</w:t>
      </w:r>
      <w:proofErr w:type="gramEnd"/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развития сельских территорий требует проведения эффективной государственной политики регионального развития, разработки предложений по размещению производственных, перерабатывающих и логистических мощностей различных отраслей экономики, а также формирования обеспечивающей активное экономическое развитие системы расселения.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решения обозначенных задач потребуется проведение полноценной оценки состояния сельских территорий,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продукции, развития межрегионального обмена, применения более совершенного организационно-экономического механизма, что будет способствовать рациональному использованию производственного потенциала, повышению инновационной и инвестиционной привлекательности сельских территорий, их устойчивому развитию.</w:t>
      </w:r>
      <w:proofErr w:type="gramEnd"/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Программы заложен проектный принцип ее реализации, что позволяет комплексно развивать сельские территории и сельские агломерации, целенаправленно повышая их экономический и социальный потенциал.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динамику достижения целевых показателей Программы оказывают влияние объемы ее финансового обеспечения. Потребуется взаимная синхронизация государственных программ Российской Федерации, государственных программ Республики Бурятия и муниципальных программ, затрагивающих развитие инфраструктуры сельских территорий и сельских агломераций.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инструментом Программы, влияющим на достижение национальной цели "Сохранение населения, здоровье и благополучие людей", является предоставление субсидии из республиканского бюджета, в том числе субсидии из федерального бюджета, бюджетам муниципальных образований Республики Бурятия: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создание, реконструкцию (модернизацию), капитальный ремонт медицинских организаций, оказывающих первичную медико-санитарную помощь, за исключением больниц (в рамках проектов комплексного развития сельских территорий);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транспортных средств и оборудования (не бывшего в употреблении или эксплуатации) для обеспечения функционирования существующих объектов или эксплуатации объектов, создаваемых в рамках проектов комплексного развития сельских территорий (автобусов, санитарного транспорта, мобильных медицинских комплексов);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 по улучшению жилищных условий граждан (социальные выплаты гражданам в целях обеспечения кадрами медицинских организаций, расположенных в удаленных населенных пунктах и сельских населенных пунктах).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 инструментом Программы, влияющим на достижение национальной цели "Возможности для самореализации и развития талантов", является предоставление субсидии из республиканского бюджета, в том числе субсидии из федерального бюджета, бюджетам муниципальных образований Республики Бурятия: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создание, реконструкцию (модернизацию), капитальный ремонт общеобразовательных организаций, организаций дополнительного образования, центров культурного развития и развития традиционных промыслов и ремесел, спортивных сооружений (в рамках проектов комплексного развития сельских территорий);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мероприятий, направленных на 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инструментами Программы, влияющими на достижение национальной цели "Комфортная и безопасная среда для жизни", является предоставление субсидии из республиканского бюджета, в том числе субсидии из федерального бюджета, бюджетам муниципальных образований Республики Бурятия: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 по улучшению жилищных условий граждан (социальные выплаты на строительство (приобретение) жилых помещений (жилых домов);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строительство (приобретение) жилых помещений для передачи их гражданам по договору найма;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обустройство инженерной инфраструктурой и объектами по благоустройству площадок, расположенных на сельских территориях, под компактную жилищную застройку;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инженерной инфраструктуры (в рамках проектов комплексного развития сельских территорий);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 по благоустройству сельских территорий;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транспортной инфраструктуры на сельских территориях.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поставленных целей и задач Программы осуществляется региональными проектами.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Программы входят следующие региональные проекты: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жилищного строительства на сельских территориях и повышение уровня благоустройства домовладений";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"Благоустройство сельских территорий";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"Современный облик сельских территорий";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"Содействие занятости сельского населения".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"Развитие жилищного строительства на сельских территориях и повышение уровня благоустройства домовладений" поставленные цели и задачи будут решены путем: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строительства (приобретения)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строительства (приобретения) жилья, предоставляемого гражданам Российской Федерации, проживающим на сельских территориях, по договору найма жилого помещения.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"Благоустройство сельских территорий" поставленные цели и задачи будут решены путем реализации проектов по благоустройству общественных пространств на сельских территориях.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"Современный облик сельских территорий" поставленные цели и задачи будут решены путем реализации проектов комплексного развития сельских территорий (агломераций).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"Содействие занятости сельского населения" поставленные цели и задачи будут решены путем: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на обучение граждан Российской Федерации для сельскохозяйственных товаропроизводителей и организаций, осуществляющих переработку сельскохозяйственной продукции на сельских территориях;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привлечения обучающихся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 на сельских территориях.</w:t>
      </w:r>
      <w:proofErr w:type="gramEnd"/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поддержка в рамках регионального проекта "Развитие транспортной инфраструктуры на сельских территориях" предоставляется бюджетам муниципальных образований Республики Бурятия и расходуется в соответствии с </w:t>
      </w:r>
      <w:hyperlink r:id="rId1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и методикой расчетов размера субсидий бюджетам муниципальных районов, городских округов из Дорожного фонда Республики Бурятия на дорожную деятельность в отношении автомобильных дорог общего пользования местного значения, утвержденным постановлением Правительства Республики Бурятия от 09.04.2013 N 179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"О Государственной программе Республики Бурятия "Развитие транспорта, энергетики и дорожного хозяйства". В рамках регионального проекта "Развитие транспортной инфраструктуры на сельских территориях" поставленные цели и задачи будут решены путем строительства (реконструкции) и ремонта автомобильных дорог на сельских территориях.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структурные элементы Программы и их задачи взаимосвязаны с показателями Программы.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достижение показателя "доля сельского населения в общей численности населения Республики Бурятия" направлена реализация региональных проектов "Развитие жилищного строительства на сельских территориях и повышение уровня благоустройства домовладений", "Благоустройство сельских территорий", "Современный облик сельских территорий", "Содействие занятости сельского населения".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достижение показателя "соотношение среднемесячных располагаемых ресурсов сельского и городского домохозяйств" направлена реализация региональных проектов "Развитие жилищного строительства на сельских территориях и повышение уровня благоустройства домовладений", "Современный облик сельских территорий", "Содействие занятости сельского населения".</w:t>
      </w:r>
    </w:p>
    <w:p w:rsidR="00AB367B" w:rsidRDefault="00AB367B" w:rsidP="00AB367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достижение показателя "доля общей площади благоустроенных жилых помещений в сельских населенных пунктах" направлена реализация регионального проекта "Развитие жилищного строительства на сельских территориях и повышение уровня благоустройства домовладений", "Современный облик сельских территорий".</w:t>
      </w:r>
    </w:p>
    <w:p w:rsidR="00AB367B" w:rsidRDefault="00AB367B" w:rsidP="00AB36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Характеристика основных мероприятий программы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состав программы включены следующие основные мероприятия: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1) улучшение жилищных условий граждан, проживающих на сельских территориях;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2) строительство жилья, предоставляемого по договору найма жилого помещения;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3) обустройство объектами инженерной инфраструктуры и благоустройству площадок, расположенных на сельских территориях, под компактную жилищную застройку.</w:t>
      </w:r>
    </w:p>
    <w:p w:rsidR="00AB367B" w:rsidRDefault="00AB367B" w:rsidP="00AB367B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4.1. Мероприятие «Улучшение жилищных условий граждан, </w:t>
      </w: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проживающих на сельских территориях»</w:t>
      </w:r>
      <w:proofErr w:type="gramEnd"/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Целью мероприятия по улучшению жилищных условий граждан, проживающих на сельских территориях, является обеспечение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граждан, проживающих и работающих на сельских территориях, оборудованным всеми видами благоустройства жильем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доступности улучшения жилищных условий граждан, проживающих на сельских территориях, предусматривается осуществлять путем предоставления гражданам социальных выплат на строительство (приобретение) жилья в порядке и на условиях, которые установлены Положением о предоставлении социальных выплат на строительство (приобретение) жилья гражданам, проживающим на сельских территориях, предусмотренным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граждан, проживающих на сельских территориях, являющимся </w:t>
      </w:r>
      <w:hyperlink r:id="rId16" w:anchor="/document/70210644/entry/13000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приложением № 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Государственной программе Российской Федерации «Комплексное развитие сельских территорий», утвержденной </w:t>
      </w:r>
      <w:hyperlink r:id="rId17" w:anchor="/document/70210644/entry/0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31.05.2019 № 696.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Указанные социальные выплаты предполагается предоставлять на условиях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за счет средств федерального бюджета.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Порядок реализации мероприятий по улучшению жилищных условий граждан, проживающих на сельских территориях, утверждается постановлением Правительства Республики Бурятия.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4.2. Мероприятие «Строительство жилья, предоставляемого </w:t>
      </w: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договору найма жилого помещения»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Целями мероприятия по строительству жилья на сельских территориях, предоставляемого по договору найма жилого помещения, является удовлетворение потребностей сельского населения в благоустроенном жилье, привлечение и закрепление в сельской местности молодых специалистов.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жилья на сельских территориях, предоставляемого по договору найма жилого помещения, предусматривается осуществлять путем предоставления органам местного самоуправление субсидий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 жилья в порядке и на условиях,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(жилого дома), предоставляемого гражданам Российской Федерации, проживающим на сельских территориях, по договору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найма жилого помещения, предусмотренным приложением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помещения, являющимся </w:t>
      </w:r>
      <w:hyperlink r:id="rId18" w:anchor="/document/70210644/entry/13000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приложением № 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к Государственной программе Российской Федерации «Комплексное развитие сельских территорий», утвержденной </w:t>
      </w:r>
      <w:hyperlink r:id="rId19" w:anchor="/document/70210644/entry/0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31.05.2019 № 696.</w:t>
      </w:r>
      <w:proofErr w:type="gramEnd"/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Указанные субсидии предполагается предоставлять на условиях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за счет средств федерального бюджета.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Порядок реализации мероприятий по строительству жилья на сельских территориях, предоставляемого по договору найма жилого помещения, утверждается постановлением Правительства Республики Бурятия.</w:t>
      </w:r>
    </w:p>
    <w:p w:rsidR="00AB367B" w:rsidRDefault="00AB367B" w:rsidP="00AB367B">
      <w:pPr>
        <w:shd w:val="clear" w:color="auto" w:fill="FFFFFF"/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B367B" w:rsidRDefault="00AB367B" w:rsidP="00AB367B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3.3. Мероприятие благоустройство сельских территорий</w:t>
      </w:r>
    </w:p>
    <w:p w:rsidR="00AB367B" w:rsidRDefault="00AB367B" w:rsidP="00AB367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 сельскими территориями 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(за исключением г. Улан-Удэ)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городских поселений. Перечень сельских населенных пунктов и рабочих поселков на территории Республики Бурятия определяется Правительством Республики Бурятия.</w:t>
      </w:r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Субсидии предоставляются в целях оказания финансовой поддержки при исполнении расходных обязательств муниципальных образований Республики Бурятия, возникающих при реализации мероприятий государственной программы Республики Бурятия «Комплексное развитие сельских территорий республики Бурятия» и муниципальных программ (подпрограмм), направленных на комплексное развитие сельских территорий,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сельского поселения, расположенных на сельской территории Республики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Бурятия, на реализацию общественно-значимых проектов по благоустройству сельских территорий (далее - проекты) по следующим направлениям:</w:t>
      </w:r>
    </w:p>
    <w:p w:rsidR="00AB367B" w:rsidRDefault="00AB367B" w:rsidP="00AB36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AB367B" w:rsidRDefault="00AB367B" w:rsidP="00AB36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AB367B" w:rsidRDefault="00AB367B" w:rsidP="00AB36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организация пешеходных коммуникаций, в том числе тротуаров, аллей, дорожек, тропинок;</w:t>
      </w:r>
    </w:p>
    <w:p w:rsidR="00AB367B" w:rsidRDefault="00AB367B" w:rsidP="00AB36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AB367B" w:rsidRDefault="00AB367B" w:rsidP="00AB36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организация ливневых стоков;</w:t>
      </w:r>
    </w:p>
    <w:p w:rsidR="00AB367B" w:rsidRDefault="00AB367B" w:rsidP="00AB36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обустройство общественных колодцев и водоразборных колонок;</w:t>
      </w:r>
    </w:p>
    <w:p w:rsidR="00AB367B" w:rsidRDefault="00AB367B" w:rsidP="00AB36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обустройство площадок накопления твердых коммунальных отходов;</w:t>
      </w:r>
    </w:p>
    <w:p w:rsidR="00AB367B" w:rsidRDefault="00AB367B" w:rsidP="00AB36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з) сохранение и восстановление природных ландшафтов и историко-культурных памятников.</w:t>
      </w:r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5"/>
      <w:bookmarkStart w:id="2" w:name="Par10"/>
      <w:bookmarkStart w:id="3" w:name="Par12"/>
      <w:bookmarkEnd w:id="1"/>
      <w:bookmarkEnd w:id="2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на реализацию в одном сельском поселении одного проекта в год.</w:t>
      </w:r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в целях активизации участия сельского населения в решении вопросов местного значения.</w:t>
      </w:r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субсидии, предоставляемый органу местного самоуправления или органу территориального общественного самоуправления,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сельской территории субъекта Российской Федерации, по каждому из направлений, указанных в </w:t>
      </w:r>
      <w:hyperlink r:id="rId20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не превышает 2 млн. рублей и составляет не более 70 процентов общего объема финансового обеспечения реализации проекта.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оставшейся части стоимости проекта осуществляется за счет местного бюджета, в объеме не менее 5 процентов,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</w:t>
      </w:r>
      <w:proofErr w:type="gramEnd"/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3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образование, получившее субсидии, должно реализовать проект до 31 декабря года, в котором получены субсидии.</w:t>
      </w:r>
      <w:bookmarkStart w:id="5" w:name="Par15"/>
      <w:bookmarkEnd w:id="5"/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бюджету муниципального образования на основании конкурсного отбора проектов.</w:t>
      </w:r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ar20"/>
      <w:bookmarkStart w:id="7" w:name="Par27"/>
      <w:bookmarkEnd w:id="6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Критериями конкурсного отбора являются: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ar28"/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Вклад участников реализации проекта в его финансирование: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уровень финансового обеспечения проекта со стороны местного бюджета (в объеме не менее 5 процентов от стоимости проекта);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уровень вклада граждан в реализацию проекта в денежной форме;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уровень вклада индивидуальных предпринимателей и юридических лиц  в реализацию проекта в денежной форме;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уровень вклада населения в реализацию проекта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неденежной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(предоставлением помещений, техническими средствами и материалами);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уровень вклада внебюджетных источников в реализацию проекта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неденежной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(предоставлением помещений, техническими средствами и материалами);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степень участия населения в процессе реализации проекта.</w:t>
      </w:r>
    </w:p>
    <w:p w:rsidR="00AB367B" w:rsidRDefault="00AB367B" w:rsidP="00AB367B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получения субсидий муниципальное образование, претендующее на получение субсидии, предоставляет в Министерство следующие документы:</w:t>
      </w:r>
    </w:p>
    <w:p w:rsidR="00AB367B" w:rsidRDefault="00AB367B" w:rsidP="00AB367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согласно приложению № 1 к настоящим Правилам;</w:t>
      </w:r>
    </w:p>
    <w:p w:rsidR="00AB367B" w:rsidRDefault="00AB367B" w:rsidP="00AB367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для участия в конкурсном отборе по форме, согласно приложению № 2 к настоящим Правилам;</w:t>
      </w:r>
    </w:p>
    <w:p w:rsidR="00AB367B" w:rsidRDefault="00AB367B" w:rsidP="00AB367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1" w:anchor="P368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паспорта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по форме, согласно приложению № 3 к настоящим Правилам;</w:t>
      </w:r>
    </w:p>
    <w:p w:rsidR="00AB367B" w:rsidRDefault="00AB367B" w:rsidP="00AB367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неденежного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вклада населения и организаций (спонсоров), согласно </w:t>
      </w:r>
      <w:hyperlink r:id="rId22" w:anchor="P555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приложению № 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Правилам;</w:t>
      </w:r>
    </w:p>
    <w:p w:rsidR="00AB367B" w:rsidRDefault="00AB367B" w:rsidP="00AB367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3" w:anchor="P683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сведения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наличии утвержденной проектно-сметной документации на получение субсидии по форме, согласно приложению № 5 к настоящим Правилам;</w:t>
      </w:r>
    </w:p>
    <w:p w:rsidR="00AB367B" w:rsidRDefault="00AB367B" w:rsidP="00AB367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документа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принятии решения о реализации на территории населенного пункта мероприятий по благоустройству в сельской местности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3.4. Мероприятие «Льготная сельская ипотека»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Целью мероприятий по льготной сельской ипотеке, является улучшение жилищных условий, проживающих на сельских территория, путем предоставления ипотечных кредитов (займов) по льготной ставке от 0,1 до 3% годовых с 1 января 2020 года по 31 декабря 2025 года.</w:t>
      </w:r>
      <w:proofErr w:type="gramEnd"/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Предоставление ипотечных кредитов на строительство (приобретение) жилья в сельской местности по льготной ставке предусматривается осуществлять путем предоставления субсидий из федерального и республиканского бюджетов уполномоченным банкам и обществу «ДОМ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Ф» в целях возмещения недополученных ими доходов по льготным ипотечным кредитам (займам) (далее - субсидии), при условии соответствия кредитных договоров (договоров займа) настоящим Правилам, выданным заемщикам на следующие цели: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у физического и (или) юридического лица (за исключением инвестиционного фонда, в том числе его управляющей компании), индивидуального предпринимателя готового жилого помещения, или жилого помещения (жилого дома) с земельным участком, соответствующих требованиям, указанным в пункте 20 настоящих Правил, по договору купли-продажи либо на приобретение у физического и (или) юридического лица (за исключением инвестиционного фонда, в том числе его управляющей компании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находящихся на этапе строительства жилого помещения или жилого помещения (жилого дома) с земельным участком, соответствующих требованиям, указанным в пункте 20 настоящих Правил, по договору участия в долевом строительстве (договору уступки прав требования по указанному договору) в соответствии с положениями Федерального закона от 30.12.2004 № 214-ФЗ «Об участии в долевом строительстве многоквартирных домов и иных объектов недвижимости и о внесении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некоторые законодательные акты Российской Федерации» (далее - жилое помещение), расположенных на сельских территориях (сельских агломерациях);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строительство жилого дома (создание объекта индивидуального жилищного строительства), соответствующего требованиям, указанным в пункте 20 настоящих Правил, на земельном участке, находящемся в собственности у заемщика на сельских территориях (сельских агломерациях), в том числе на завершение ранее начатого строительства жилого дома, по договору подряда с подрядной организацией (юридическим лицом или индивидуальным предпринимателем), или на приобретение земельного участка на сельских территориях (сельских агломерациях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 строительства на нем жилого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оответствующего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указанным в пункте 20 настоящих Правил, по договору подряда с подрядной организацией (юридическим лицом или индивидуальным предпринимателем). Условиями договора подряда должно быть предусмотрено завершение строительства жилого дома (создание объекта индивидуального жилищного строительства) в срок, не превышающий 24 месяцев с момента предоставления заемщику кредита (займа);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погашение кредитов (займов), выданных российскими кредитными организациями или обществом «ДОМ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Ф», заемщикам не ранее 1 января 2020 года, на цели, указанные в абзаце втором, третьем настоящего пункта.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российских кредитных организаций в качестве уполномоченных банков будет утверждаться Министерством сельского хозяйства Российской Федерации на основании их отбора.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3.5. Мероприятие «Обустройство объектами инженерной инфраструктуры и благоустройству, площадок, расположенных на сельских территориях, под компактную жилищную застройку»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мероприятия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предусматривается оказание государственной поддержки в порядке и на условиях, которые установлены Правилами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благоустройству, площадок, расположенных на сельских территориях, под компактную жилищную застройку, являющимся </w:t>
      </w:r>
      <w:hyperlink r:id="rId24" w:anchor="/document/70210644/entry/13000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приложением № 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Государственной программе Российской Федерации «Комплексное развитие сельских территорий», утвержденной </w:t>
      </w:r>
      <w:hyperlink r:id="rId25" w:anchor="/document/70210644/entry/0" w:history="1">
        <w:r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31.05.2019 № 696, по следующим направлениям: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объектов инженерной инфраструктуры;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обеспечение уличного освещения;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строительство улично-дорожной сети;</w:t>
      </w:r>
    </w:p>
    <w:p w:rsidR="00AB367B" w:rsidRDefault="00AB367B" w:rsidP="00AB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благоустройство, в том числе озеленение.</w:t>
      </w:r>
    </w:p>
    <w:p w:rsidR="00AB367B" w:rsidRDefault="00AB367B" w:rsidP="00AB3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субсидии предполагается предоставлять на условиях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за счет средств федерального бюджета.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Порядок реализации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утверждается постановлением Правительства Республики Бурятия.</w:t>
      </w: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3.6. Мероприятие, направленное на реализацию </w:t>
      </w: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ВЦП «Современный облик сельских территорий»</w:t>
      </w:r>
    </w:p>
    <w:p w:rsidR="00AB367B" w:rsidRDefault="00AB367B" w:rsidP="00AB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67B" w:rsidRDefault="00AB367B" w:rsidP="00AB3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проекта строительство школы на 450 мест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Сосново-Озерское Еравнинского района Республики Бурятия на 2022-2024гг.</w:t>
      </w:r>
    </w:p>
    <w:p w:rsidR="00AB367B" w:rsidRDefault="00AB367B" w:rsidP="00AB367B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B367B" w:rsidRDefault="00AB367B" w:rsidP="00AB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Управление реализацией программы и </w:t>
      </w:r>
    </w:p>
    <w:p w:rsidR="00AB367B" w:rsidRDefault="00AB367B" w:rsidP="00AB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AB367B" w:rsidRDefault="00AB367B" w:rsidP="00AB36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программы осуществляет – Администрация МО «Еравнинский район», который: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координирует деятельность исполнителей программы, обеспечивает своевременную и качественную реализацию мероприятий подпрограммы, осуществляет мониторинг выполнения мероприятий программы, сбор статистической и аналитической информации о реализации подпрограммных мероприятий;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бюджетные заявки на финансирование мероприятий на очередной финансовый год;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 уточняет значения индикаторов (показателей) эффективности реализации программы, объем необходимых ассигнований на реализацию программных мероприятий, механизм реализации программы и состав исполнителей;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заключает в установленном порядке с Министерством сельского хозяйства Республики Бурятия, с другими участниками подпрограммы, в которых предусматриваются обязательства по финансированию мероприятий подпрограммы за счет средств федерального, республиканского, муниципального бюджетов и привлеченных внебюджетных средств (собственных средств участников и кредитных ресурсов), а также обязательства по выполнению мероприятий подпрограммы и достижению установленных показателей;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с другими республиканскими государственными органами, уполномоченными Правительством Республики Бурятия для участия в реализации подпрограммы в рамках своей компетенции, проводит работу по внесению изменений в  законодательство Республики Бурятия, регулирующее вопросы хозяйственной деятельности на территории Республики Бурятия;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ежегодную оценку эффективности реализации подпрограммы в соответствии с порядком установленным Правительством Республики Бурятия: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подпрограммы.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Участие средств федерального бюджета в финансировании мероприятий, предусмотренных  в подпрограмме, будет осуществляться исходя из уровня </w:t>
      </w:r>
      <w:proofErr w:type="spellStart"/>
      <w:r>
        <w:rPr>
          <w:rFonts w:ascii="Times New Roman" w:hAnsi="Times New Roman"/>
          <w:sz w:val="28"/>
          <w:szCs w:val="28"/>
        </w:rPr>
        <w:t>дотационности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 Республики Бурятия и других критериев. Порядок предоставления субсидий за счет средств федерального бюджета устанавливается Правительством Российской Федерации.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Оценка социально – экономической эффективности программы</w:t>
      </w:r>
    </w:p>
    <w:p w:rsidR="00AB367B" w:rsidRDefault="00AB367B" w:rsidP="00AB36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367B" w:rsidRDefault="00AB367B" w:rsidP="00AB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мероприятий программы на 2020-2025 годы  и на плановый период 2026 и 2027 годы позволит выйти на следующие параметры социально – экономического развития села:</w:t>
      </w:r>
    </w:p>
    <w:p w:rsidR="00AB367B" w:rsidRDefault="00AB367B" w:rsidP="00AB367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- строительство и ввод в действие жилья не менее 540 кв. м.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AB367B" w:rsidRDefault="00AB367B" w:rsidP="00AB367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строительство школы на 450 мест </w:t>
      </w:r>
      <w:proofErr w:type="gramStart"/>
      <w:r>
        <w:rPr>
          <w:rFonts w:ascii="Times New Roman" w:hAnsi="Times New Roman"/>
          <w:sz w:val="28"/>
          <w:szCs w:val="24"/>
        </w:rPr>
        <w:t>в</w:t>
      </w:r>
      <w:proofErr w:type="gramEnd"/>
      <w:r>
        <w:rPr>
          <w:rFonts w:ascii="Times New Roman" w:hAnsi="Times New Roman"/>
          <w:sz w:val="28"/>
          <w:szCs w:val="24"/>
        </w:rPr>
        <w:t xml:space="preserve"> с. Сосново-Озерское.</w:t>
      </w:r>
    </w:p>
    <w:p w:rsidR="00AB367B" w:rsidRDefault="00AB367B" w:rsidP="00AB367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реализация проектов по благоустройству сельских территорий.</w:t>
      </w:r>
    </w:p>
    <w:p w:rsidR="00AB367B" w:rsidRDefault="00AB367B" w:rsidP="00AB367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B367B" w:rsidRDefault="00AB367B" w:rsidP="00AB367B">
      <w:pPr>
        <w:spacing w:after="0" w:line="240" w:lineRule="auto"/>
        <w:rPr>
          <w:rFonts w:ascii="Times New Roman" w:hAnsi="Times New Roman"/>
          <w:sz w:val="28"/>
          <w:szCs w:val="24"/>
        </w:rPr>
        <w:sectPr w:rsidR="00AB367B">
          <w:pgSz w:w="11906" w:h="16838"/>
          <w:pgMar w:top="851" w:right="567" w:bottom="567" w:left="1134" w:header="709" w:footer="709" w:gutter="0"/>
          <w:cols w:space="720"/>
        </w:sect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1"/>
        <w:gridCol w:w="777"/>
        <w:gridCol w:w="906"/>
        <w:gridCol w:w="851"/>
        <w:gridCol w:w="850"/>
        <w:gridCol w:w="142"/>
        <w:gridCol w:w="567"/>
        <w:gridCol w:w="850"/>
        <w:gridCol w:w="851"/>
        <w:gridCol w:w="992"/>
        <w:gridCol w:w="284"/>
        <w:gridCol w:w="425"/>
        <w:gridCol w:w="289"/>
        <w:gridCol w:w="681"/>
        <w:gridCol w:w="752"/>
        <w:gridCol w:w="532"/>
        <w:gridCol w:w="813"/>
        <w:gridCol w:w="681"/>
        <w:gridCol w:w="752"/>
        <w:gridCol w:w="532"/>
        <w:gridCol w:w="813"/>
        <w:gridCol w:w="681"/>
        <w:gridCol w:w="703"/>
      </w:tblGrid>
      <w:tr w:rsidR="00AB367B" w:rsidTr="00AB367B">
        <w:trPr>
          <w:trHeight w:val="300"/>
        </w:trPr>
        <w:tc>
          <w:tcPr>
            <w:tcW w:w="15466" w:type="dxa"/>
            <w:gridSpan w:val="23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Приложение 1</w:t>
            </w:r>
          </w:p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Муниципальной программе " Комплексное  развитие сельских территорий </w:t>
            </w:r>
          </w:p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Еравнинском  районе » </w:t>
            </w:r>
          </w:p>
        </w:tc>
      </w:tr>
      <w:tr w:rsidR="00AB367B" w:rsidTr="00AB367B">
        <w:trPr>
          <w:trHeight w:val="300"/>
        </w:trPr>
        <w:tc>
          <w:tcPr>
            <w:tcW w:w="15466" w:type="dxa"/>
            <w:gridSpan w:val="23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9" w:name="_GoBack"/>
            <w:bookmarkEnd w:id="9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утвержденной постановлением Администрации МО «Еравнинский район»</w:t>
            </w:r>
          </w:p>
        </w:tc>
      </w:tr>
      <w:tr w:rsidR="00AB367B" w:rsidTr="00AB367B">
        <w:trPr>
          <w:trHeight w:val="300"/>
        </w:trPr>
        <w:tc>
          <w:tcPr>
            <w:tcW w:w="15466" w:type="dxa"/>
            <w:gridSpan w:val="23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«06» сентября 2024 г. № 372</w:t>
            </w:r>
          </w:p>
        </w:tc>
      </w:tr>
      <w:tr w:rsidR="00AB367B" w:rsidTr="00AB367B">
        <w:trPr>
          <w:trHeight w:val="314"/>
        </w:trPr>
        <w:tc>
          <w:tcPr>
            <w:tcW w:w="15466" w:type="dxa"/>
            <w:gridSpan w:val="23"/>
            <w:noWrap/>
            <w:vAlign w:val="bottom"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B367B" w:rsidTr="00AB367B">
        <w:trPr>
          <w:trHeight w:val="300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Стоимость работ всего, тыс. руб.</w:t>
            </w:r>
          </w:p>
        </w:tc>
        <w:tc>
          <w:tcPr>
            <w:tcW w:w="106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годам, тыс. руб.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367B" w:rsidTr="00AB367B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B367B" w:rsidTr="00AB367B">
        <w:trPr>
          <w:trHeight w:val="8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67B" w:rsidRDefault="00AB367B">
            <w:pPr>
              <w:spacing w:after="0" w:line="256" w:lineRule="auto"/>
            </w:pPr>
          </w:p>
        </w:tc>
      </w:tr>
      <w:tr w:rsidR="00AB367B" w:rsidTr="00AB367B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367B" w:rsidTr="00AB367B">
        <w:trPr>
          <w:trHeight w:val="405"/>
        </w:trPr>
        <w:tc>
          <w:tcPr>
            <w:tcW w:w="1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Комплексное развитие сельского поселения "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Исингинское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AB367B" w:rsidTr="00AB367B">
        <w:trPr>
          <w:trHeight w:val="279"/>
        </w:trPr>
        <w:tc>
          <w:tcPr>
            <w:tcW w:w="1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 Благоустройство сельских территорий</w:t>
            </w:r>
          </w:p>
        </w:tc>
      </w:tr>
      <w:tr w:rsidR="00AB367B" w:rsidTr="00AB367B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Детские и спортивные площадки, освещение, пешеходные коммуникации, кап. Ремонт мемориала Славы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702,35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B367B" w:rsidTr="00AB367B">
        <w:trPr>
          <w:trHeight w:val="491"/>
        </w:trPr>
        <w:tc>
          <w:tcPr>
            <w:tcW w:w="1546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Комплексное развитие сельского поселения "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Кондинское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AB367B" w:rsidTr="00AB367B">
        <w:trPr>
          <w:trHeight w:val="399"/>
        </w:trPr>
        <w:tc>
          <w:tcPr>
            <w:tcW w:w="1546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Благоустройство сельских территорий</w:t>
            </w:r>
          </w:p>
        </w:tc>
      </w:tr>
      <w:tr w:rsidR="00AB367B" w:rsidTr="00AB367B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Детские и спортивные площадки, осве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щение, пешеходные коммуникации, кап. Ремонт мемориала Славы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702,35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56" w:lineRule="auto"/>
            </w:pPr>
          </w:p>
        </w:tc>
      </w:tr>
      <w:tr w:rsidR="00AB367B" w:rsidTr="00AB367B">
        <w:trPr>
          <w:trHeight w:val="591"/>
        </w:trPr>
        <w:tc>
          <w:tcPr>
            <w:tcW w:w="1546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Мероприятие  Комплексное развитие сельского поселения "Комсомольское"</w:t>
            </w:r>
          </w:p>
        </w:tc>
      </w:tr>
      <w:tr w:rsidR="00AB367B" w:rsidTr="00AB367B">
        <w:trPr>
          <w:trHeight w:val="442"/>
        </w:trPr>
        <w:tc>
          <w:tcPr>
            <w:tcW w:w="1546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Благоустройство сельских территорий</w:t>
            </w:r>
          </w:p>
        </w:tc>
      </w:tr>
      <w:tr w:rsidR="00AB367B" w:rsidTr="00AB367B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 и спортивные площадки, освещение, пешеходные коммуникации,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кап. Ремонт мемориала Славы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53,370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702,35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56" w:lineRule="auto"/>
            </w:pPr>
          </w:p>
        </w:tc>
      </w:tr>
      <w:tr w:rsidR="00AB367B" w:rsidTr="00AB367B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134,49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2107,05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2107,05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D5B4"/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56" w:lineRule="auto"/>
            </w:pPr>
          </w:p>
        </w:tc>
      </w:tr>
    </w:tbl>
    <w:p w:rsidR="00AB367B" w:rsidRDefault="00AB367B" w:rsidP="00AB367B">
      <w:pPr>
        <w:spacing w:after="0" w:line="240" w:lineRule="auto"/>
        <w:jc w:val="right"/>
        <w:rPr>
          <w:rFonts w:asciiTheme="minorHAnsi" w:hAnsiTheme="minorHAnsi" w:cstheme="minorBidi"/>
        </w:rPr>
      </w:pPr>
    </w:p>
    <w:p w:rsidR="00AB367B" w:rsidRDefault="00AB367B" w:rsidP="00AB367B">
      <w:pPr>
        <w:spacing w:after="0" w:line="240" w:lineRule="auto"/>
      </w:pPr>
    </w:p>
    <w:p w:rsidR="00AB367B" w:rsidRDefault="00AB367B" w:rsidP="00AB367B">
      <w:pPr>
        <w:spacing w:after="0" w:line="240" w:lineRule="auto"/>
        <w:jc w:val="right"/>
      </w:pP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2</w:t>
      </w: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«Комплексное развитие сельских территорий  </w:t>
      </w: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Еравнинском районе»</w:t>
      </w:r>
    </w:p>
    <w:p w:rsidR="00AB367B" w:rsidRDefault="00AB367B" w:rsidP="00AB367B">
      <w:pPr>
        <w:spacing w:after="0" w:line="240" w:lineRule="auto"/>
        <w:jc w:val="right"/>
        <w:rPr>
          <w:rFonts w:asciiTheme="minorHAnsi" w:hAnsiTheme="minorHAnsi" w:cstheme="minorBidi"/>
        </w:rPr>
      </w:pPr>
    </w:p>
    <w:p w:rsidR="00AB367B" w:rsidRDefault="00AB367B" w:rsidP="00AB367B">
      <w:pPr>
        <w:spacing w:after="0" w:line="240" w:lineRule="auto"/>
        <w:jc w:val="right"/>
      </w:pPr>
    </w:p>
    <w:p w:rsidR="00AB367B" w:rsidRDefault="00AB367B" w:rsidP="00AB367B">
      <w:pPr>
        <w:spacing w:after="0" w:line="240" w:lineRule="auto"/>
        <w:jc w:val="right"/>
      </w:pPr>
    </w:p>
    <w:p w:rsidR="00AB367B" w:rsidRDefault="00AB367B" w:rsidP="00AB3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проекта строительство школы на 450 мест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 Сосново-Озерское Еравнинского района </w:t>
      </w:r>
    </w:p>
    <w:p w:rsidR="00AB367B" w:rsidRDefault="00AB367B" w:rsidP="00AB367B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Бурятия на 2022-2024гг.</w:t>
      </w:r>
    </w:p>
    <w:p w:rsidR="00AB367B" w:rsidRDefault="00AB367B" w:rsidP="00AB367B">
      <w:pPr>
        <w:spacing w:after="0" w:line="240" w:lineRule="auto"/>
        <w:jc w:val="right"/>
        <w:rPr>
          <w:highlight w:val="yellow"/>
        </w:rPr>
      </w:pPr>
    </w:p>
    <w:tbl>
      <w:tblPr>
        <w:tblStyle w:val="af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1988"/>
        <w:gridCol w:w="2124"/>
        <w:gridCol w:w="1711"/>
        <w:gridCol w:w="841"/>
        <w:gridCol w:w="850"/>
        <w:gridCol w:w="1276"/>
        <w:gridCol w:w="1276"/>
        <w:gridCol w:w="1276"/>
        <w:gridCol w:w="1134"/>
        <w:gridCol w:w="1134"/>
        <w:gridCol w:w="1134"/>
      </w:tblGrid>
      <w:tr w:rsidR="00AB367B" w:rsidTr="00AB36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AB367B" w:rsidTr="00AB367B">
        <w:trPr>
          <w:trHeight w:val="22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школы на 450 мест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Сосново-Озерское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«Еравнинский район»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328151706,0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474313116,4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164745578,1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267508100,0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214070800,0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21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5459427,44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4368852,3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492227,56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140354503,4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106880941,9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9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54691951,0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115518960,6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57349297,3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7B" w:rsidRDefault="00AB367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B367B" w:rsidRDefault="00AB367B" w:rsidP="00AB367B">
      <w:pPr>
        <w:rPr>
          <w:rFonts w:ascii="Times New Roman" w:hAnsi="Times New Roman"/>
          <w:bCs/>
          <w:sz w:val="20"/>
          <w:szCs w:val="20"/>
        </w:rPr>
      </w:pPr>
    </w:p>
    <w:p w:rsidR="00AB367B" w:rsidRDefault="00AB367B" w:rsidP="00AB367B">
      <w:pPr>
        <w:rPr>
          <w:rFonts w:ascii="Times New Roman" w:hAnsi="Times New Roman"/>
          <w:bCs/>
          <w:sz w:val="20"/>
          <w:szCs w:val="20"/>
        </w:rPr>
      </w:pPr>
    </w:p>
    <w:p w:rsidR="00AB367B" w:rsidRDefault="00AB367B" w:rsidP="00AB367B">
      <w:pPr>
        <w:rPr>
          <w:rFonts w:ascii="Times New Roman" w:hAnsi="Times New Roman"/>
          <w:bCs/>
          <w:sz w:val="20"/>
          <w:szCs w:val="20"/>
        </w:rPr>
      </w:pPr>
    </w:p>
    <w:p w:rsidR="00AB367B" w:rsidRDefault="00AB367B" w:rsidP="00AB367B">
      <w:pPr>
        <w:rPr>
          <w:rFonts w:ascii="Times New Roman" w:hAnsi="Times New Roman"/>
          <w:bCs/>
          <w:sz w:val="20"/>
          <w:szCs w:val="20"/>
        </w:rPr>
      </w:pP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3</w:t>
      </w: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«Комплексное развитие сельских территорий  </w:t>
      </w: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Еравнинском районе»</w:t>
      </w:r>
    </w:p>
    <w:p w:rsidR="00AB367B" w:rsidRDefault="00AB367B" w:rsidP="00AB367B">
      <w:pPr>
        <w:spacing w:after="0" w:line="240" w:lineRule="auto"/>
        <w:ind w:left="5160"/>
        <w:jc w:val="right"/>
        <w:rPr>
          <w:rFonts w:ascii="Times New Roman" w:hAnsi="Times New Roman"/>
          <w:sz w:val="20"/>
          <w:szCs w:val="20"/>
        </w:rPr>
      </w:pPr>
    </w:p>
    <w:p w:rsidR="00AB367B" w:rsidRDefault="00AB367B" w:rsidP="00AB367B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План реализации муниципальной программы «Комплексное развитие сельских территорий в </w:t>
      </w:r>
      <w:r>
        <w:rPr>
          <w:rFonts w:ascii="Times New Roman" w:hAnsi="Times New Roman"/>
          <w:bCs/>
          <w:color w:val="111111"/>
          <w:sz w:val="28"/>
          <w:szCs w:val="28"/>
        </w:rPr>
        <w:t>Еравнинском районе</w:t>
      </w:r>
    </w:p>
    <w:p w:rsidR="00AB367B" w:rsidRDefault="00AB367B" w:rsidP="00AB367B">
      <w:pPr>
        <w:widowControl w:val="0"/>
        <w:autoSpaceDE w:val="0"/>
        <w:ind w:firstLine="709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на 2020-2025 годы и на плановый период 2026 и 2027 годы» 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1985"/>
        <w:gridCol w:w="850"/>
        <w:gridCol w:w="1559"/>
        <w:gridCol w:w="1276"/>
        <w:gridCol w:w="1276"/>
        <w:gridCol w:w="1417"/>
        <w:gridCol w:w="1418"/>
        <w:gridCol w:w="1417"/>
        <w:gridCol w:w="1276"/>
        <w:gridCol w:w="1276"/>
        <w:gridCol w:w="1276"/>
      </w:tblGrid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ind w:left="-51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расходов, годы (рублей)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период, годы (рублей)</w:t>
            </w:r>
          </w:p>
        </w:tc>
      </w:tr>
      <w:tr w:rsidR="00AB367B" w:rsidTr="00AB367B">
        <w:trPr>
          <w:trHeight w:val="109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2027*</w:t>
            </w:r>
          </w:p>
        </w:tc>
      </w:tr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 Комплексное развитие сельских территорий МО "Еравнинский район"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1304787207,22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2401650,0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1065922,85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457094804,7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663764576,5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164745578,1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</w:tr>
      <w:tr w:rsidR="00AB367B" w:rsidTr="00AB36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798103414,31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2107047,6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244043,99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390168785,8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396019900,0</w:t>
            </w:r>
          </w:p>
        </w:tc>
        <w:tc>
          <w:tcPr>
            <w:tcW w:w="1417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16894747,21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134492,4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7962606,75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8082152,3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515339,0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255469224,28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59509,15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3140787,15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144143563,5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106880941,9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59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234319821,42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757389,23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55822625,0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115518960,6</w:t>
            </w:r>
          </w:p>
        </w:tc>
        <w:tc>
          <w:tcPr>
            <w:tcW w:w="1417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57349297,3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</w:tr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обеспечения доступным и комфортным жильем сельского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19422726,72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1065922,85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2642128,81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11168866,71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244043,99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1361185,78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</w:tr>
      <w:tr w:rsidR="00AB367B" w:rsidTr="00AB36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227936,07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27779,31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</w:tr>
      <w:tr w:rsidR="00AB367B" w:rsidTr="00AB36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1266311,40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59509,15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122489,69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6759612,54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757389,23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1130674,03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</w:tr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Улучшение жилищных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условий граждан, проживающих на сельских территориях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3708051,66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1065922,85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2642128,81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5238225,02</w:t>
            </w:r>
          </w:p>
        </w:tc>
      </w:tr>
      <w:tr w:rsidR="00AB367B" w:rsidTr="00AB36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1605229,77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244043,99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1361185,78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3187878,98</w:t>
            </w:r>
          </w:p>
        </w:tc>
      </w:tr>
      <w:tr w:rsidR="00AB367B" w:rsidTr="00AB36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27028,62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22048,14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65058,76</w:t>
            </w:r>
          </w:p>
        </w:tc>
      </w:tr>
      <w:tr w:rsidR="00AB367B" w:rsidTr="00AB367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187730,01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59509,15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128220,86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361437,52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1888063,26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757389,23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1130674,03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1623849,76</w:t>
            </w:r>
          </w:p>
        </w:tc>
      </w:tr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Создание и развитие инфраструктуры на сельских территориях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1285364480,5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2401650,0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454452675,9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663764576,5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164745578,1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786934547,6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2107047,6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388807600,0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396019900,0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16666811,14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7934827,4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8082152,3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515339,0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254202912,9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3018297,5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144143563,5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106880941,9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59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227560208,9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54691951,0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115518960,6</w:t>
            </w:r>
          </w:p>
        </w:tc>
        <w:tc>
          <w:tcPr>
            <w:tcW w:w="1417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57349297,3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2401650,0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2401650,0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2107047,6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2107047,6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134492,4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160110,0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инженерной инфраструктуры на сельских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59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315752430,0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126300969,9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189451460,1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303248600,0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121299500,0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181949100,0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6188700,0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2475400,0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3713300,0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6315130,0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2526069,9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3789060,1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59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Современный облик сельских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967210400,5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328151706,0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474313116,4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164745578,1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481578900,0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267508100,0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214070800,0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10343618,7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5459427,44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4368852,3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515339,0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247727672,9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492227,56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140354503,4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106880941,9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227560208,9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54691951,0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115518960,6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367B" w:rsidRDefault="00AB36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57349297,3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367B" w:rsidRDefault="00AB3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367B" w:rsidTr="00AB367B">
        <w:trPr>
          <w:trHeight w:val="300"/>
        </w:trPr>
        <w:tc>
          <w:tcPr>
            <w:tcW w:w="12191" w:type="dxa"/>
            <w:gridSpan w:val="9"/>
            <w:vAlign w:val="center"/>
            <w:hideMark/>
          </w:tcPr>
          <w:p w:rsidR="00AB367B" w:rsidRDefault="00AB3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&lt;*&gt; Объемы бюджетного финансирования мероприятий подпрограммы в части федерального, республиканского бюджетов и внебюджетного источника на 2020 - 2024 годы являются прогнозными и подлежат уточнению.</w:t>
            </w:r>
          </w:p>
        </w:tc>
        <w:tc>
          <w:tcPr>
            <w:tcW w:w="1276" w:type="dxa"/>
            <w:noWrap/>
            <w:vAlign w:val="bottom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1276" w:type="dxa"/>
            <w:noWrap/>
            <w:vAlign w:val="bottom"/>
            <w:hideMark/>
          </w:tcPr>
          <w:p w:rsidR="00AB367B" w:rsidRDefault="00AB367B">
            <w:pPr>
              <w:spacing w:after="0" w:line="256" w:lineRule="auto"/>
            </w:pPr>
          </w:p>
        </w:tc>
        <w:tc>
          <w:tcPr>
            <w:tcW w:w="1276" w:type="dxa"/>
            <w:noWrap/>
            <w:vAlign w:val="bottom"/>
          </w:tcPr>
          <w:p w:rsidR="00AB367B" w:rsidRDefault="00AB36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AB367B" w:rsidRDefault="00AB36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B367B" w:rsidRDefault="00AB367B" w:rsidP="00AB36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67B" w:rsidRDefault="00AB367B" w:rsidP="00AB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67B" w:rsidRDefault="00AB367B" w:rsidP="00AB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367B" w:rsidRDefault="00AB367B"/>
    <w:sectPr w:rsidR="00AB367B" w:rsidSect="00AB3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47AF"/>
    <w:multiLevelType w:val="multilevel"/>
    <w:tmpl w:val="A28A2034"/>
    <w:lvl w:ilvl="0">
      <w:start w:val="1"/>
      <w:numFmt w:val="russianLower"/>
      <w:lvlText w:val="%1)"/>
      <w:lvlJc w:val="left"/>
      <w:pPr>
        <w:ind w:left="1080" w:hanging="72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21CE21BC"/>
    <w:multiLevelType w:val="hybridMultilevel"/>
    <w:tmpl w:val="DF66107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2E0D1A"/>
    <w:multiLevelType w:val="multilevel"/>
    <w:tmpl w:val="D500F9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EA"/>
    <w:rsid w:val="00176E94"/>
    <w:rsid w:val="003A1FEA"/>
    <w:rsid w:val="00AB367B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E94"/>
    <w:rPr>
      <w:rFonts w:ascii="Calibri" w:eastAsia="Calibri" w:hAnsi="Calibri"/>
      <w:sz w:val="22"/>
      <w:szCs w:val="22"/>
    </w:rPr>
  </w:style>
  <w:style w:type="paragraph" w:styleId="1">
    <w:name w:val="heading 1"/>
    <w:aliases w:val="Знак"/>
    <w:basedOn w:val="a0"/>
    <w:next w:val="a0"/>
    <w:link w:val="10"/>
    <w:qFormat/>
    <w:rsid w:val="00AB367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367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B367B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176E94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5">
    <w:name w:val="Название Знак"/>
    <w:basedOn w:val="a1"/>
    <w:link w:val="a4"/>
    <w:rsid w:val="00176E94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0"/>
    <w:link w:val="30"/>
    <w:semiHidden/>
    <w:unhideWhenUsed/>
    <w:rsid w:val="00176E9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176E94"/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176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6E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Знак Знак"/>
    <w:basedOn w:val="a1"/>
    <w:link w:val="1"/>
    <w:rsid w:val="00AB367B"/>
    <w:rPr>
      <w:rFonts w:ascii="Arial" w:eastAsia="Times New Roman" w:hAnsi="Arial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AB367B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B367B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AB367B"/>
    <w:rPr>
      <w:color w:val="0000FF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AB367B"/>
    <w:rPr>
      <w:color w:val="800080" w:themeColor="followedHyperlink"/>
      <w:u w:val="single"/>
    </w:rPr>
  </w:style>
  <w:style w:type="character" w:customStyle="1" w:styleId="11">
    <w:name w:val="Заголовок 1 Знак1"/>
    <w:aliases w:val="Знак Знак1"/>
    <w:basedOn w:val="a1"/>
    <w:rsid w:val="00AB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Обычный (веб) Знак"/>
    <w:aliases w:val="Обычный (Web) Знак,Знак Знак Знак Знак Знак Знак1,Знак Знак Знак Знак Знак Знак Знак"/>
    <w:basedOn w:val="a1"/>
    <w:link w:val="ab"/>
    <w:uiPriority w:val="99"/>
    <w:semiHidden/>
    <w:locked/>
    <w:rsid w:val="00AB367B"/>
    <w:rPr>
      <w:rFonts w:ascii="Verdana" w:eastAsia="MS Mincho" w:hAnsi="Verdana" w:cs="Verdana"/>
      <w:sz w:val="20"/>
      <w:szCs w:val="20"/>
      <w:lang w:val="en-US"/>
    </w:rPr>
  </w:style>
  <w:style w:type="paragraph" w:styleId="ab">
    <w:name w:val="Normal (Web)"/>
    <w:aliases w:val="Обычный (Web),Знак Знак Знак Знак Знак,Знак Знак Знак Знак Знак Знак"/>
    <w:basedOn w:val="a0"/>
    <w:link w:val="aa"/>
    <w:uiPriority w:val="99"/>
    <w:semiHidden/>
    <w:unhideWhenUsed/>
    <w:qFormat/>
    <w:rsid w:val="00AB367B"/>
    <w:pPr>
      <w:ind w:left="708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c">
    <w:name w:val="Верхний колонтитул Знак"/>
    <w:basedOn w:val="a1"/>
    <w:link w:val="ad"/>
    <w:uiPriority w:val="99"/>
    <w:semiHidden/>
    <w:locked/>
    <w:rsid w:val="00AB367B"/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AB367B"/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Основной текст13 Знак"/>
    <w:basedOn w:val="a1"/>
    <w:link w:val="a"/>
    <w:semiHidden/>
    <w:locked/>
    <w:rsid w:val="00AB367B"/>
    <w:rPr>
      <w:rFonts w:eastAsia="Times New Roman"/>
      <w:sz w:val="26"/>
      <w:szCs w:val="20"/>
    </w:rPr>
  </w:style>
  <w:style w:type="paragraph" w:styleId="a">
    <w:name w:val="Body Text"/>
    <w:aliases w:val="Основной текст13"/>
    <w:basedOn w:val="a0"/>
    <w:link w:val="af0"/>
    <w:semiHidden/>
    <w:unhideWhenUsed/>
    <w:rsid w:val="00AB367B"/>
    <w:pPr>
      <w:numPr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12">
    <w:name w:val="Основной текст Знак1"/>
    <w:aliases w:val="Основной текст13 Знак1"/>
    <w:basedOn w:val="a1"/>
    <w:semiHidden/>
    <w:rsid w:val="00AB367B"/>
    <w:rPr>
      <w:rFonts w:ascii="Calibri" w:eastAsia="Calibri" w:hAnsi="Calibri"/>
      <w:sz w:val="22"/>
      <w:szCs w:val="22"/>
    </w:rPr>
  </w:style>
  <w:style w:type="character" w:customStyle="1" w:styleId="af1">
    <w:name w:val="Схема документа Знак"/>
    <w:basedOn w:val="a1"/>
    <w:link w:val="af2"/>
    <w:uiPriority w:val="99"/>
    <w:semiHidden/>
    <w:locked/>
    <w:rsid w:val="00AB367B"/>
    <w:rPr>
      <w:rFonts w:ascii="Tahoma" w:eastAsia="Times New Roman" w:hAnsi="Tahoma" w:cs="Tahoma"/>
      <w:sz w:val="16"/>
      <w:szCs w:val="16"/>
    </w:rPr>
  </w:style>
  <w:style w:type="character" w:customStyle="1" w:styleId="af3">
    <w:name w:val="Без интервала Знак"/>
    <w:basedOn w:val="a1"/>
    <w:link w:val="af4"/>
    <w:uiPriority w:val="1"/>
    <w:locked/>
    <w:rsid w:val="00AB367B"/>
    <w:rPr>
      <w:rFonts w:ascii="Calibri" w:eastAsia="Times New Roman" w:hAnsi="Calibri"/>
    </w:rPr>
  </w:style>
  <w:style w:type="character" w:customStyle="1" w:styleId="Normal">
    <w:name w:val="Normal Знак"/>
    <w:basedOn w:val="a1"/>
    <w:link w:val="13"/>
    <w:locked/>
    <w:rsid w:val="00AB367B"/>
    <w:rPr>
      <w:rFonts w:eastAsia="Times New Roman"/>
      <w:szCs w:val="20"/>
      <w:lang w:eastAsia="ru-RU"/>
    </w:rPr>
  </w:style>
  <w:style w:type="paragraph" w:customStyle="1" w:styleId="13">
    <w:name w:val="Обычный1"/>
    <w:link w:val="Normal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B36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B3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AB367B"/>
    <w:pPr>
      <w:snapToGrid w:val="0"/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paragraph" w:customStyle="1" w:styleId="Normal1">
    <w:name w:val="Normal1"/>
    <w:uiPriority w:val="99"/>
    <w:rsid w:val="00AB367B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Iauiue">
    <w:name w:val="Iau?iue"/>
    <w:uiPriority w:val="99"/>
    <w:rsid w:val="00AB367B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31">
    <w:name w:val="Обычный3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bodytext">
    <w:name w:val="bodytext"/>
    <w:basedOn w:val="a0"/>
    <w:uiPriority w:val="99"/>
    <w:rsid w:val="00AB367B"/>
    <w:pPr>
      <w:spacing w:before="50" w:after="16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5">
    <w:name w:val="Обычный5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61">
    <w:name w:val="Обычный6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14">
    <w:name w:val="Без интервала1"/>
    <w:uiPriority w:val="99"/>
    <w:qFormat/>
    <w:rsid w:val="00AB367B"/>
    <w:pPr>
      <w:suppressAutoHyphens/>
      <w:spacing w:after="0" w:line="240" w:lineRule="auto"/>
    </w:pPr>
    <w:rPr>
      <w:rFonts w:ascii="Calibri" w:eastAsia="Arial" w:hAnsi="Calibri"/>
      <w:sz w:val="22"/>
      <w:szCs w:val="22"/>
      <w:lang w:eastAsia="ar-SA"/>
    </w:rPr>
  </w:style>
  <w:style w:type="paragraph" w:customStyle="1" w:styleId="7">
    <w:name w:val="Обычный7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8">
    <w:name w:val="Обычный8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af5">
    <w:name w:val="Нормальный (таблица)"/>
    <w:basedOn w:val="a0"/>
    <w:next w:val="a0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header"/>
    <w:basedOn w:val="a0"/>
    <w:link w:val="ac"/>
    <w:uiPriority w:val="99"/>
    <w:semiHidden/>
    <w:unhideWhenUsed/>
    <w:rsid w:val="00AB3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1"/>
    <w:uiPriority w:val="99"/>
    <w:semiHidden/>
    <w:rsid w:val="00AB367B"/>
    <w:rPr>
      <w:rFonts w:ascii="Calibri" w:eastAsia="Calibri" w:hAnsi="Calibri"/>
      <w:sz w:val="22"/>
      <w:szCs w:val="22"/>
    </w:rPr>
  </w:style>
  <w:style w:type="paragraph" w:styleId="af">
    <w:name w:val="footer"/>
    <w:basedOn w:val="a0"/>
    <w:link w:val="ae"/>
    <w:uiPriority w:val="99"/>
    <w:semiHidden/>
    <w:unhideWhenUsed/>
    <w:rsid w:val="00AB3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1"/>
    <w:uiPriority w:val="99"/>
    <w:semiHidden/>
    <w:rsid w:val="00AB367B"/>
    <w:rPr>
      <w:rFonts w:ascii="Calibri" w:eastAsia="Calibri" w:hAnsi="Calibri"/>
      <w:sz w:val="22"/>
      <w:szCs w:val="22"/>
    </w:rPr>
  </w:style>
  <w:style w:type="character" w:customStyle="1" w:styleId="17">
    <w:name w:val="Текст выноски Знак1"/>
    <w:basedOn w:val="a1"/>
    <w:uiPriority w:val="99"/>
    <w:semiHidden/>
    <w:rsid w:val="00AB367B"/>
    <w:rPr>
      <w:rFonts w:ascii="Tahoma" w:hAnsi="Tahoma" w:cs="Tahoma"/>
      <w:sz w:val="16"/>
      <w:szCs w:val="16"/>
    </w:rPr>
  </w:style>
  <w:style w:type="character" w:customStyle="1" w:styleId="18">
    <w:name w:val="Название Знак1"/>
    <w:basedOn w:val="a1"/>
    <w:rsid w:val="00AB3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0">
    <w:name w:val="Знак Знак10"/>
    <w:basedOn w:val="a1"/>
    <w:locked/>
    <w:rsid w:val="00AB367B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paragraph" w:styleId="af2">
    <w:name w:val="Document Map"/>
    <w:basedOn w:val="a0"/>
    <w:link w:val="af1"/>
    <w:uiPriority w:val="99"/>
    <w:semiHidden/>
    <w:unhideWhenUsed/>
    <w:rsid w:val="00AB36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Схема документа Знак1"/>
    <w:basedOn w:val="a1"/>
    <w:uiPriority w:val="99"/>
    <w:semiHidden/>
    <w:rsid w:val="00AB367B"/>
    <w:rPr>
      <w:rFonts w:ascii="Tahoma" w:eastAsia="Calibri" w:hAnsi="Tahoma" w:cs="Tahoma"/>
      <w:sz w:val="16"/>
      <w:szCs w:val="16"/>
    </w:rPr>
  </w:style>
  <w:style w:type="paragraph" w:styleId="af4">
    <w:name w:val="No Spacing"/>
    <w:link w:val="af3"/>
    <w:uiPriority w:val="1"/>
    <w:qFormat/>
    <w:rsid w:val="00AB367B"/>
    <w:pPr>
      <w:spacing w:after="0" w:line="240" w:lineRule="auto"/>
    </w:pPr>
    <w:rPr>
      <w:rFonts w:ascii="Calibri" w:eastAsia="Times New Roman" w:hAnsi="Calibri"/>
    </w:rPr>
  </w:style>
  <w:style w:type="table" w:styleId="af7">
    <w:name w:val="Table Grid"/>
    <w:basedOn w:val="a2"/>
    <w:rsid w:val="00AB367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2"/>
    <w:uiPriority w:val="59"/>
    <w:rsid w:val="00AB367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E94"/>
    <w:rPr>
      <w:rFonts w:ascii="Calibri" w:eastAsia="Calibri" w:hAnsi="Calibri"/>
      <w:sz w:val="22"/>
      <w:szCs w:val="22"/>
    </w:rPr>
  </w:style>
  <w:style w:type="paragraph" w:styleId="1">
    <w:name w:val="heading 1"/>
    <w:aliases w:val="Знак"/>
    <w:basedOn w:val="a0"/>
    <w:next w:val="a0"/>
    <w:link w:val="10"/>
    <w:qFormat/>
    <w:rsid w:val="00AB367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367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B367B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176E94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5">
    <w:name w:val="Название Знак"/>
    <w:basedOn w:val="a1"/>
    <w:link w:val="a4"/>
    <w:rsid w:val="00176E94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0"/>
    <w:link w:val="30"/>
    <w:semiHidden/>
    <w:unhideWhenUsed/>
    <w:rsid w:val="00176E9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176E94"/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176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6E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Знак Знак"/>
    <w:basedOn w:val="a1"/>
    <w:link w:val="1"/>
    <w:rsid w:val="00AB367B"/>
    <w:rPr>
      <w:rFonts w:ascii="Arial" w:eastAsia="Times New Roman" w:hAnsi="Arial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AB367B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B367B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AB367B"/>
    <w:rPr>
      <w:color w:val="0000FF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AB367B"/>
    <w:rPr>
      <w:color w:val="800080" w:themeColor="followedHyperlink"/>
      <w:u w:val="single"/>
    </w:rPr>
  </w:style>
  <w:style w:type="character" w:customStyle="1" w:styleId="11">
    <w:name w:val="Заголовок 1 Знак1"/>
    <w:aliases w:val="Знак Знак1"/>
    <w:basedOn w:val="a1"/>
    <w:rsid w:val="00AB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Обычный (веб) Знак"/>
    <w:aliases w:val="Обычный (Web) Знак,Знак Знак Знак Знак Знак Знак1,Знак Знак Знак Знак Знак Знак Знак"/>
    <w:basedOn w:val="a1"/>
    <w:link w:val="ab"/>
    <w:uiPriority w:val="99"/>
    <w:semiHidden/>
    <w:locked/>
    <w:rsid w:val="00AB367B"/>
    <w:rPr>
      <w:rFonts w:ascii="Verdana" w:eastAsia="MS Mincho" w:hAnsi="Verdana" w:cs="Verdana"/>
      <w:sz w:val="20"/>
      <w:szCs w:val="20"/>
      <w:lang w:val="en-US"/>
    </w:rPr>
  </w:style>
  <w:style w:type="paragraph" w:styleId="ab">
    <w:name w:val="Normal (Web)"/>
    <w:aliases w:val="Обычный (Web),Знак Знак Знак Знак Знак,Знак Знак Знак Знак Знак Знак"/>
    <w:basedOn w:val="a0"/>
    <w:link w:val="aa"/>
    <w:uiPriority w:val="99"/>
    <w:semiHidden/>
    <w:unhideWhenUsed/>
    <w:qFormat/>
    <w:rsid w:val="00AB367B"/>
    <w:pPr>
      <w:ind w:left="708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c">
    <w:name w:val="Верхний колонтитул Знак"/>
    <w:basedOn w:val="a1"/>
    <w:link w:val="ad"/>
    <w:uiPriority w:val="99"/>
    <w:semiHidden/>
    <w:locked/>
    <w:rsid w:val="00AB367B"/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AB367B"/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Основной текст13 Знак"/>
    <w:basedOn w:val="a1"/>
    <w:link w:val="a"/>
    <w:semiHidden/>
    <w:locked/>
    <w:rsid w:val="00AB367B"/>
    <w:rPr>
      <w:rFonts w:eastAsia="Times New Roman"/>
      <w:sz w:val="26"/>
      <w:szCs w:val="20"/>
    </w:rPr>
  </w:style>
  <w:style w:type="paragraph" w:styleId="a">
    <w:name w:val="Body Text"/>
    <w:aliases w:val="Основной текст13"/>
    <w:basedOn w:val="a0"/>
    <w:link w:val="af0"/>
    <w:semiHidden/>
    <w:unhideWhenUsed/>
    <w:rsid w:val="00AB367B"/>
    <w:pPr>
      <w:numPr>
        <w:numId w:val="1"/>
      </w:num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12">
    <w:name w:val="Основной текст Знак1"/>
    <w:aliases w:val="Основной текст13 Знак1"/>
    <w:basedOn w:val="a1"/>
    <w:semiHidden/>
    <w:rsid w:val="00AB367B"/>
    <w:rPr>
      <w:rFonts w:ascii="Calibri" w:eastAsia="Calibri" w:hAnsi="Calibri"/>
      <w:sz w:val="22"/>
      <w:szCs w:val="22"/>
    </w:rPr>
  </w:style>
  <w:style w:type="character" w:customStyle="1" w:styleId="af1">
    <w:name w:val="Схема документа Знак"/>
    <w:basedOn w:val="a1"/>
    <w:link w:val="af2"/>
    <w:uiPriority w:val="99"/>
    <w:semiHidden/>
    <w:locked/>
    <w:rsid w:val="00AB367B"/>
    <w:rPr>
      <w:rFonts w:ascii="Tahoma" w:eastAsia="Times New Roman" w:hAnsi="Tahoma" w:cs="Tahoma"/>
      <w:sz w:val="16"/>
      <w:szCs w:val="16"/>
    </w:rPr>
  </w:style>
  <w:style w:type="character" w:customStyle="1" w:styleId="af3">
    <w:name w:val="Без интервала Знак"/>
    <w:basedOn w:val="a1"/>
    <w:link w:val="af4"/>
    <w:uiPriority w:val="1"/>
    <w:locked/>
    <w:rsid w:val="00AB367B"/>
    <w:rPr>
      <w:rFonts w:ascii="Calibri" w:eastAsia="Times New Roman" w:hAnsi="Calibri"/>
    </w:rPr>
  </w:style>
  <w:style w:type="character" w:customStyle="1" w:styleId="Normal">
    <w:name w:val="Normal Знак"/>
    <w:basedOn w:val="a1"/>
    <w:link w:val="13"/>
    <w:locked/>
    <w:rsid w:val="00AB367B"/>
    <w:rPr>
      <w:rFonts w:eastAsia="Times New Roman"/>
      <w:szCs w:val="20"/>
      <w:lang w:eastAsia="ru-RU"/>
    </w:rPr>
  </w:style>
  <w:style w:type="paragraph" w:customStyle="1" w:styleId="13">
    <w:name w:val="Обычный1"/>
    <w:link w:val="Normal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B36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B3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AB367B"/>
    <w:pPr>
      <w:snapToGrid w:val="0"/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paragraph" w:customStyle="1" w:styleId="Normal1">
    <w:name w:val="Normal1"/>
    <w:uiPriority w:val="99"/>
    <w:rsid w:val="00AB367B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Iauiue">
    <w:name w:val="Iau?iue"/>
    <w:uiPriority w:val="99"/>
    <w:rsid w:val="00AB367B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31">
    <w:name w:val="Обычный3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bodytext">
    <w:name w:val="bodytext"/>
    <w:basedOn w:val="a0"/>
    <w:uiPriority w:val="99"/>
    <w:rsid w:val="00AB367B"/>
    <w:pPr>
      <w:spacing w:before="50" w:after="16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5">
    <w:name w:val="Обычный5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61">
    <w:name w:val="Обычный6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14">
    <w:name w:val="Без интервала1"/>
    <w:uiPriority w:val="99"/>
    <w:qFormat/>
    <w:rsid w:val="00AB367B"/>
    <w:pPr>
      <w:suppressAutoHyphens/>
      <w:spacing w:after="0" w:line="240" w:lineRule="auto"/>
    </w:pPr>
    <w:rPr>
      <w:rFonts w:ascii="Calibri" w:eastAsia="Arial" w:hAnsi="Calibri"/>
      <w:sz w:val="22"/>
      <w:szCs w:val="22"/>
      <w:lang w:eastAsia="ar-SA"/>
    </w:rPr>
  </w:style>
  <w:style w:type="paragraph" w:customStyle="1" w:styleId="7">
    <w:name w:val="Обычный7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8">
    <w:name w:val="Обычный8"/>
    <w:uiPriority w:val="99"/>
    <w:rsid w:val="00AB367B"/>
    <w:pPr>
      <w:widowControl w:val="0"/>
      <w:snapToGrid w:val="0"/>
      <w:spacing w:after="0" w:line="300" w:lineRule="auto"/>
      <w:ind w:firstLine="700"/>
      <w:jc w:val="both"/>
    </w:pPr>
    <w:rPr>
      <w:rFonts w:eastAsia="Times New Roman"/>
      <w:sz w:val="22"/>
      <w:szCs w:val="20"/>
      <w:lang w:eastAsia="ru-RU"/>
    </w:rPr>
  </w:style>
  <w:style w:type="paragraph" w:customStyle="1" w:styleId="af5">
    <w:name w:val="Нормальный (таблица)"/>
    <w:basedOn w:val="a0"/>
    <w:next w:val="a0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AB3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header"/>
    <w:basedOn w:val="a0"/>
    <w:link w:val="ac"/>
    <w:uiPriority w:val="99"/>
    <w:semiHidden/>
    <w:unhideWhenUsed/>
    <w:rsid w:val="00AB3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1"/>
    <w:uiPriority w:val="99"/>
    <w:semiHidden/>
    <w:rsid w:val="00AB367B"/>
    <w:rPr>
      <w:rFonts w:ascii="Calibri" w:eastAsia="Calibri" w:hAnsi="Calibri"/>
      <w:sz w:val="22"/>
      <w:szCs w:val="22"/>
    </w:rPr>
  </w:style>
  <w:style w:type="paragraph" w:styleId="af">
    <w:name w:val="footer"/>
    <w:basedOn w:val="a0"/>
    <w:link w:val="ae"/>
    <w:uiPriority w:val="99"/>
    <w:semiHidden/>
    <w:unhideWhenUsed/>
    <w:rsid w:val="00AB3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1"/>
    <w:uiPriority w:val="99"/>
    <w:semiHidden/>
    <w:rsid w:val="00AB367B"/>
    <w:rPr>
      <w:rFonts w:ascii="Calibri" w:eastAsia="Calibri" w:hAnsi="Calibri"/>
      <w:sz w:val="22"/>
      <w:szCs w:val="22"/>
    </w:rPr>
  </w:style>
  <w:style w:type="character" w:customStyle="1" w:styleId="17">
    <w:name w:val="Текст выноски Знак1"/>
    <w:basedOn w:val="a1"/>
    <w:uiPriority w:val="99"/>
    <w:semiHidden/>
    <w:rsid w:val="00AB367B"/>
    <w:rPr>
      <w:rFonts w:ascii="Tahoma" w:hAnsi="Tahoma" w:cs="Tahoma"/>
      <w:sz w:val="16"/>
      <w:szCs w:val="16"/>
    </w:rPr>
  </w:style>
  <w:style w:type="character" w:customStyle="1" w:styleId="18">
    <w:name w:val="Название Знак1"/>
    <w:basedOn w:val="a1"/>
    <w:rsid w:val="00AB3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0">
    <w:name w:val="Знак Знак10"/>
    <w:basedOn w:val="a1"/>
    <w:locked/>
    <w:rsid w:val="00AB367B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paragraph" w:styleId="af2">
    <w:name w:val="Document Map"/>
    <w:basedOn w:val="a0"/>
    <w:link w:val="af1"/>
    <w:uiPriority w:val="99"/>
    <w:semiHidden/>
    <w:unhideWhenUsed/>
    <w:rsid w:val="00AB36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Схема документа Знак1"/>
    <w:basedOn w:val="a1"/>
    <w:uiPriority w:val="99"/>
    <w:semiHidden/>
    <w:rsid w:val="00AB367B"/>
    <w:rPr>
      <w:rFonts w:ascii="Tahoma" w:eastAsia="Calibri" w:hAnsi="Tahoma" w:cs="Tahoma"/>
      <w:sz w:val="16"/>
      <w:szCs w:val="16"/>
    </w:rPr>
  </w:style>
  <w:style w:type="paragraph" w:styleId="af4">
    <w:name w:val="No Spacing"/>
    <w:link w:val="af3"/>
    <w:uiPriority w:val="1"/>
    <w:qFormat/>
    <w:rsid w:val="00AB367B"/>
    <w:pPr>
      <w:spacing w:after="0" w:line="240" w:lineRule="auto"/>
    </w:pPr>
    <w:rPr>
      <w:rFonts w:ascii="Calibri" w:eastAsia="Times New Roman" w:hAnsi="Calibri"/>
    </w:rPr>
  </w:style>
  <w:style w:type="table" w:styleId="af7">
    <w:name w:val="Table Grid"/>
    <w:basedOn w:val="a2"/>
    <w:rsid w:val="00AB367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2"/>
    <w:uiPriority w:val="59"/>
    <w:rsid w:val="00AB367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00&amp;date=16.09.2024" TargetMode="External"/><Relationship Id="rId13" Type="http://schemas.openxmlformats.org/officeDocument/2006/relationships/hyperlink" Target="https://login.consultant.ru/link/?req=doc&amp;base=RLAW355&amp;n=73280&amp;date=16.09.2024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tsyrenov_A\Downloads\&#1052;&#1091;&#1085;.&#1055;&#1088;&#1086;&#1075;&#1088;.%20&#1050;&#1056;&#1057;&#1058;%20&#1045;&#1056;&#1040;&#1042;&#1053;&#1040;%2011.09.2024&#1075;%20&#1074;%20&#1088;&#1077;&#1075;&#1080;&#1089;&#1090;&#1088;.docx" TargetMode="External"/><Relationship Id="rId7" Type="http://schemas.openxmlformats.org/officeDocument/2006/relationships/hyperlink" Target="https://login.consultant.ru/link/?req=doc&amp;base=LAW&amp;n=479937&amp;date=16.09.2024&amp;dst=100014&amp;field=134" TargetMode="External"/><Relationship Id="rId12" Type="http://schemas.openxmlformats.org/officeDocument/2006/relationships/hyperlink" Target="https://login.consultant.ru/link/?req=doc&amp;base=LAW&amp;n=211112&amp;date=16.09.2024&amp;dst=100009&amp;field=134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consultantplus://offline/ref=92A25EBEEB53D1174EEEF0350A9C513E46C0C9396D43CCC1F3C75CC60259B6A43256912AC3F42A3F4D39046EB997EBDC370383025DB9E0AAFFV0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8211&amp;date=16.09.2024&amp;dst=100009&amp;field=134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55&amp;n=85857&amp;date=16.09.2024&amp;dst=573379&amp;field=134" TargetMode="External"/><Relationship Id="rId23" Type="http://schemas.openxmlformats.org/officeDocument/2006/relationships/hyperlink" Target="file:///C:\Users\tsyrenov_A\Downloads\&#1052;&#1091;&#1085;.&#1055;&#1088;&#1086;&#1075;&#1088;.%20&#1050;&#1056;&#1057;&#1058;%20&#1045;&#1056;&#1040;&#1042;&#1053;&#1040;%2011.09.2024&#1075;%20&#1074;%20&#1088;&#1077;&#1075;&#1080;&#1089;&#1090;&#1088;.docx" TargetMode="External"/><Relationship Id="rId10" Type="http://schemas.openxmlformats.org/officeDocument/2006/relationships/hyperlink" Target="https://login.consultant.ru/link/?req=doc&amp;base=LAW&amp;n=343386&amp;date=16.09.2024&amp;dst=100017&amp;field=134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&amp;date=16.09.2024" TargetMode="External"/><Relationship Id="rId14" Type="http://schemas.openxmlformats.org/officeDocument/2006/relationships/hyperlink" Target="https://login.consultant.ru/link/?req=doc&amp;base=RLAW355&amp;n=73280&amp;date=16.09.2024&amp;dst=100021&amp;field=134" TargetMode="External"/><Relationship Id="rId22" Type="http://schemas.openxmlformats.org/officeDocument/2006/relationships/hyperlink" Target="file:///C:\Users\tsyrenov_A\Downloads\&#1052;&#1091;&#1085;.&#1055;&#1088;&#1086;&#1075;&#1088;.%20&#1050;&#1056;&#1057;&#1058;%20&#1045;&#1056;&#1040;&#1042;&#1053;&#1040;%2011.09.2024&#1075;%20&#1074;%20&#1088;&#1077;&#1075;&#1080;&#1089;&#1090;&#1088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7079</Words>
  <Characters>40351</Characters>
  <Application>Microsoft Office Word</Application>
  <DocSecurity>0</DocSecurity>
  <Lines>336</Lines>
  <Paragraphs>94</Paragraphs>
  <ScaleCrop>false</ScaleCrop>
  <Company/>
  <LinksUpToDate>false</LinksUpToDate>
  <CharactersWithSpaces>47336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2024-09-17T06:13:00Z</dcterms:created>
  <dcterms:modified xsi:type="dcterms:W3CDTF">2024-09-18T02:05:00Z</dcterms:modified>
</cp:coreProperties>
</file>